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default" w:ascii="Helvetica" w:hAnsi="Helvetica" w:eastAsia="Helvetica" w:cs="Helvetica"/>
          <w:b w:val="0"/>
          <w:i w:val="0"/>
          <w:caps w:val="0"/>
          <w:color w:val="000000"/>
          <w:spacing w:val="0"/>
          <w:sz w:val="33"/>
          <w:szCs w:val="33"/>
          <w:bdr w:val="none" w:color="auto" w:sz="0" w:space="0"/>
          <w:shd w:val="clear" w:fill="FFFFFF"/>
        </w:rPr>
      </w:pPr>
      <w:bookmarkStart w:id="0" w:name="_GoBack"/>
      <w:r>
        <w:rPr>
          <w:rFonts w:hint="default" w:ascii="Helvetica" w:hAnsi="Helvetica" w:eastAsia="Helvetica" w:cs="Helvetica"/>
          <w:b w:val="0"/>
          <w:i w:val="0"/>
          <w:caps w:val="0"/>
          <w:color w:val="000000"/>
          <w:spacing w:val="0"/>
          <w:sz w:val="33"/>
          <w:szCs w:val="33"/>
          <w:bdr w:val="none" w:color="auto" w:sz="0" w:space="0"/>
          <w:shd w:val="clear" w:fill="FFFFFF"/>
        </w:rPr>
        <w:t>2021年国家公派高级研究学者、访问学者、博士后项目选派工作流程</w:t>
      </w:r>
    </w:p>
    <w:bookmarkEnd w:id="0"/>
    <w:p/>
    <w:tbl>
      <w:tblPr>
        <w:tblW w:w="9270" w:type="dxa"/>
        <w:jc w:val="center"/>
        <w:tblCellSpacing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autofit"/>
        <w:tblCellMar>
          <w:top w:w="0" w:type="dxa"/>
          <w:left w:w="0" w:type="dxa"/>
          <w:bottom w:w="0" w:type="dxa"/>
          <w:right w:w="0" w:type="dxa"/>
        </w:tblCellMar>
      </w:tblPr>
      <w:tblGrid>
        <w:gridCol w:w="700"/>
        <w:gridCol w:w="1301"/>
        <w:gridCol w:w="1490"/>
        <w:gridCol w:w="2979"/>
        <w:gridCol w:w="2800"/>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ascii="黑体" w:hAnsi="宋体" w:eastAsia="黑体" w:cs="黑体"/>
                <w:b/>
                <w:kern w:val="0"/>
                <w:sz w:val="24"/>
                <w:szCs w:val="24"/>
                <w:bdr w:val="none" w:color="auto" w:sz="0" w:space="0"/>
                <w:lang w:val="en-US" w:eastAsia="zh-CN" w:bidi="ar"/>
              </w:rPr>
              <w:t>序号</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b/>
                <w:kern w:val="0"/>
                <w:sz w:val="24"/>
                <w:szCs w:val="24"/>
                <w:bdr w:val="none" w:color="auto" w:sz="0" w:space="0"/>
                <w:lang w:val="en-US" w:eastAsia="zh-CN" w:bidi="ar"/>
              </w:rPr>
              <w:t>时间</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b/>
                <w:kern w:val="0"/>
                <w:sz w:val="24"/>
                <w:szCs w:val="24"/>
                <w:bdr w:val="none" w:color="auto" w:sz="0" w:space="0"/>
                <w:lang w:val="en-US" w:eastAsia="zh-CN" w:bidi="ar"/>
              </w:rPr>
              <w:t>步骤</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b/>
                <w:kern w:val="0"/>
                <w:sz w:val="24"/>
                <w:szCs w:val="24"/>
                <w:bdr w:val="none" w:color="auto" w:sz="0" w:space="0"/>
                <w:lang w:val="en-US" w:eastAsia="zh-CN" w:bidi="ar"/>
              </w:rPr>
              <w:t>具体内容</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b/>
                <w:kern w:val="0"/>
                <w:sz w:val="24"/>
                <w:szCs w:val="24"/>
                <w:bdr w:val="none" w:color="auto" w:sz="0" w:space="0"/>
                <w:lang w:val="en-US" w:eastAsia="zh-CN" w:bidi="ar"/>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1</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4月10日前</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准备</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1.申请人查看选派办法，确定是否有资格申请。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2.申请人自行或通过所在单位对外联系，取得外方邀请信，并按应提交的申请材料及说明准备申请材料。</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2</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4月10-30日</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申报</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申请人网上报名；推选单位审核材料并出具推荐意见；申请材料统一提交至相关受理单位。</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有关高校负责受理本校人员的申请；其他人员申请由所在地区（单位、部门）国家留学基金申请受理单位负责受理（</w:t>
            </w:r>
            <w:r>
              <w:rPr>
                <w:rFonts w:hint="eastAsia" w:ascii="黑体" w:hAnsi="宋体" w:eastAsia="黑体" w:cs="黑体"/>
                <w:kern w:val="0"/>
                <w:sz w:val="24"/>
                <w:szCs w:val="24"/>
                <w:bdr w:val="none" w:color="auto" w:sz="0" w:space="0"/>
                <w:lang w:val="en-US" w:eastAsia="zh-CN" w:bidi="ar"/>
              </w:rPr>
              <w:fldChar w:fldCharType="begin"/>
            </w:r>
            <w:r>
              <w:rPr>
                <w:rFonts w:hint="eastAsia" w:ascii="黑体" w:hAnsi="宋体" w:eastAsia="黑体" w:cs="黑体"/>
                <w:kern w:val="0"/>
                <w:sz w:val="24"/>
                <w:szCs w:val="24"/>
                <w:bdr w:val="none" w:color="auto" w:sz="0" w:space="0"/>
                <w:lang w:val="en-US" w:eastAsia="zh-CN" w:bidi="ar"/>
              </w:rPr>
              <w:instrText xml:space="preserve"> HYPERLINK "https://www.csc.edu.cn/article/1941" \t "https://www.csc.edu.cn/article/_blank" </w:instrText>
            </w:r>
            <w:r>
              <w:rPr>
                <w:rFonts w:hint="eastAsia" w:ascii="黑体" w:hAnsi="宋体" w:eastAsia="黑体" w:cs="黑体"/>
                <w:kern w:val="0"/>
                <w:sz w:val="24"/>
                <w:szCs w:val="24"/>
                <w:bdr w:val="none" w:color="auto" w:sz="0" w:space="0"/>
                <w:lang w:val="en-US" w:eastAsia="zh-CN" w:bidi="ar"/>
              </w:rPr>
              <w:fldChar w:fldCharType="separate"/>
            </w:r>
            <w:r>
              <w:rPr>
                <w:rStyle w:val="5"/>
                <w:rFonts w:hint="eastAsia" w:ascii="黑体" w:hAnsi="宋体" w:eastAsia="黑体" w:cs="黑体"/>
                <w:sz w:val="24"/>
                <w:szCs w:val="24"/>
                <w:bdr w:val="none" w:color="auto" w:sz="0" w:space="0"/>
              </w:rPr>
              <w:t>详查阅受理单位一览表</w:t>
            </w:r>
            <w:r>
              <w:rPr>
                <w:rFonts w:hint="eastAsia" w:ascii="黑体" w:hAnsi="宋体" w:eastAsia="黑体" w:cs="黑体"/>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t>）。</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3</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5月10日前</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提交申请</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受理单位向国家留学基金委提交书面公函及推荐人员名单，同时通过信息平台提交申请人的电子材料。</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4</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5-6月</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评审、录取</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国家留学基金委组织专家对申请材料进行评审，公布录取名单。</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申请人可登录国家公派留学管理信息平台（</w:t>
            </w:r>
            <w:r>
              <w:rPr>
                <w:rFonts w:asciiTheme="minorHAnsi" w:hAnsiTheme="minorHAnsi" w:eastAsiaTheme="minorEastAsia" w:cstheme="minorBidi"/>
                <w:kern w:val="0"/>
                <w:sz w:val="24"/>
                <w:szCs w:val="24"/>
                <w:bdr w:val="none" w:color="auto" w:sz="0" w:space="0"/>
                <w:lang w:val="en-US" w:eastAsia="zh-CN" w:bidi="ar"/>
              </w:rPr>
              <w:fldChar w:fldCharType="begin"/>
            </w:r>
            <w:r>
              <w:rPr>
                <w:rFonts w:asciiTheme="minorHAnsi" w:hAnsiTheme="minorHAnsi" w:eastAsiaTheme="minorEastAsia" w:cstheme="minorBidi"/>
                <w:kern w:val="0"/>
                <w:sz w:val="24"/>
                <w:szCs w:val="24"/>
                <w:bdr w:val="none" w:color="auto" w:sz="0" w:space="0"/>
                <w:lang w:val="en-US" w:eastAsia="zh-CN" w:bidi="ar"/>
              </w:rPr>
              <w:instrText xml:space="preserve"> HYPERLINK "http://apply.csc.edu.cn/" \t "https://www.csc.edu.cn/article/_blank" </w:instrText>
            </w:r>
            <w:r>
              <w:rPr>
                <w:rFonts w:asciiTheme="minorHAnsi" w:hAnsiTheme="minorHAnsi" w:eastAsiaTheme="minorEastAsia" w:cstheme="minorBidi"/>
                <w:kern w:val="0"/>
                <w:sz w:val="24"/>
                <w:szCs w:val="24"/>
                <w:bdr w:val="none" w:color="auto" w:sz="0" w:space="0"/>
                <w:lang w:val="en-US" w:eastAsia="zh-CN" w:bidi="ar"/>
              </w:rPr>
              <w:fldChar w:fldCharType="separate"/>
            </w:r>
            <w:r>
              <w:rPr>
                <w:rStyle w:val="5"/>
                <w:rFonts w:hint="eastAsia" w:ascii="黑体" w:hAnsi="宋体" w:eastAsia="黑体" w:cs="黑体"/>
                <w:sz w:val="24"/>
                <w:szCs w:val="24"/>
                <w:bdr w:val="none" w:color="auto" w:sz="0" w:space="0"/>
              </w:rPr>
              <w:t>http://apply.csc.edu.cn</w:t>
            </w:r>
            <w:r>
              <w:rPr>
                <w:rFonts w:asciiTheme="minorHAnsi" w:hAnsiTheme="minorHAnsi" w:eastAsiaTheme="minorEastAsia" w:cstheme="minorBidi"/>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t>）查询录取结果，下载打印录取文件 。</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5</w:t>
            </w:r>
          </w:p>
        </w:tc>
        <w:tc>
          <w:tcPr>
            <w:tcW w:w="138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7月起</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外语准备</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外语未达到合格条件的被录取人员参加教育部指定出国留学人员培训部组织的语言培训或自行参加相应外语考试。</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留学人员需自行联系培训部参加外语培训（</w:t>
            </w:r>
            <w:r>
              <w:rPr>
                <w:rFonts w:hint="eastAsia" w:ascii="黑体" w:hAnsi="宋体" w:eastAsia="黑体" w:cs="黑体"/>
                <w:kern w:val="0"/>
                <w:sz w:val="24"/>
                <w:szCs w:val="24"/>
                <w:bdr w:val="none" w:color="auto" w:sz="0" w:space="0"/>
                <w:lang w:val="en-US" w:eastAsia="zh-CN" w:bidi="ar"/>
              </w:rPr>
              <w:fldChar w:fldCharType="begin"/>
            </w:r>
            <w:r>
              <w:rPr>
                <w:rFonts w:hint="eastAsia" w:ascii="黑体" w:hAnsi="宋体" w:eastAsia="黑体" w:cs="黑体"/>
                <w:kern w:val="0"/>
                <w:sz w:val="24"/>
                <w:szCs w:val="24"/>
                <w:bdr w:val="none" w:color="auto" w:sz="0" w:space="0"/>
                <w:lang w:val="en-US" w:eastAsia="zh-CN" w:bidi="ar"/>
              </w:rPr>
              <w:instrText xml:space="preserve"> HYPERLINK "https://www.csc.edu.cn/article/1939" \t "https://www.csc.edu.cn/article/_blank" </w:instrText>
            </w:r>
            <w:r>
              <w:rPr>
                <w:rFonts w:hint="eastAsia" w:ascii="黑体" w:hAnsi="宋体" w:eastAsia="黑体" w:cs="黑体"/>
                <w:kern w:val="0"/>
                <w:sz w:val="24"/>
                <w:szCs w:val="24"/>
                <w:bdr w:val="none" w:color="auto" w:sz="0" w:space="0"/>
                <w:lang w:val="en-US" w:eastAsia="zh-CN" w:bidi="ar"/>
              </w:rPr>
              <w:fldChar w:fldCharType="separate"/>
            </w:r>
            <w:r>
              <w:rPr>
                <w:rStyle w:val="5"/>
                <w:rFonts w:hint="eastAsia" w:ascii="黑体" w:hAnsi="宋体" w:eastAsia="黑体" w:cs="黑体"/>
                <w:sz w:val="24"/>
                <w:szCs w:val="24"/>
                <w:bdr w:val="none" w:color="auto" w:sz="0" w:space="0"/>
              </w:rPr>
              <w:t>点击查阅</w:t>
            </w:r>
            <w:r>
              <w:rPr>
                <w:rFonts w:hint="eastAsia" w:ascii="黑体" w:hAnsi="宋体" w:eastAsia="黑体" w:cs="黑体"/>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fldChar w:fldCharType="begin"/>
            </w:r>
            <w:r>
              <w:rPr>
                <w:rFonts w:hint="eastAsia" w:ascii="黑体" w:hAnsi="宋体" w:eastAsia="黑体" w:cs="黑体"/>
                <w:kern w:val="0"/>
                <w:sz w:val="24"/>
                <w:szCs w:val="24"/>
                <w:bdr w:val="none" w:color="auto" w:sz="0" w:space="0"/>
                <w:lang w:val="en-US" w:eastAsia="zh-CN" w:bidi="ar"/>
              </w:rPr>
              <w:instrText xml:space="preserve"> HYPERLINK "https://www.csc.edu.cn/article/1939" \t "https://www.csc.edu.cn/article/_blank" </w:instrText>
            </w:r>
            <w:r>
              <w:rPr>
                <w:rFonts w:hint="eastAsia" w:ascii="黑体" w:hAnsi="宋体" w:eastAsia="黑体" w:cs="黑体"/>
                <w:kern w:val="0"/>
                <w:sz w:val="24"/>
                <w:szCs w:val="24"/>
                <w:bdr w:val="none" w:color="auto" w:sz="0" w:space="0"/>
                <w:lang w:val="en-US" w:eastAsia="zh-CN" w:bidi="ar"/>
              </w:rPr>
              <w:fldChar w:fldCharType="separate"/>
            </w:r>
            <w:r>
              <w:rPr>
                <w:rStyle w:val="5"/>
                <w:rFonts w:hint="eastAsia" w:ascii="黑体" w:hAnsi="宋体" w:eastAsia="黑体" w:cs="黑体"/>
                <w:sz w:val="24"/>
                <w:szCs w:val="24"/>
                <w:bdr w:val="none" w:color="auto" w:sz="0" w:space="0"/>
              </w:rPr>
              <w:t>各培训部联系方式</w:t>
            </w:r>
            <w:r>
              <w:rPr>
                <w:rFonts w:hint="eastAsia" w:ascii="黑体" w:hAnsi="宋体" w:eastAsia="黑体" w:cs="黑体"/>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t>）。</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6</w:t>
            </w:r>
          </w:p>
        </w:tc>
        <w:tc>
          <w:tcPr>
            <w:tcW w:w="13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办理派出手续</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1.登录国家公派留学管理信息平台（</w:t>
            </w:r>
            <w:r>
              <w:rPr>
                <w:rFonts w:asciiTheme="minorHAnsi" w:hAnsiTheme="minorHAnsi" w:eastAsiaTheme="minorEastAsia" w:cstheme="minorBidi"/>
                <w:kern w:val="0"/>
                <w:sz w:val="24"/>
                <w:szCs w:val="24"/>
                <w:bdr w:val="none" w:color="auto" w:sz="0" w:space="0"/>
                <w:lang w:val="en-US" w:eastAsia="zh-CN" w:bidi="ar"/>
              </w:rPr>
              <w:fldChar w:fldCharType="begin"/>
            </w:r>
            <w:r>
              <w:rPr>
                <w:rFonts w:asciiTheme="minorHAnsi" w:hAnsiTheme="minorHAnsi" w:eastAsiaTheme="minorEastAsia" w:cstheme="minorBidi"/>
                <w:kern w:val="0"/>
                <w:sz w:val="24"/>
                <w:szCs w:val="24"/>
                <w:bdr w:val="none" w:color="auto" w:sz="0" w:space="0"/>
                <w:lang w:val="en-US" w:eastAsia="zh-CN" w:bidi="ar"/>
              </w:rPr>
              <w:instrText xml:space="preserve"> HYPERLINK "http://apply.csc.edu.cn/" \t "https://www.csc.edu.cn/article/_blank" </w:instrText>
            </w:r>
            <w:r>
              <w:rPr>
                <w:rFonts w:asciiTheme="minorHAnsi" w:hAnsiTheme="minorHAnsi" w:eastAsiaTheme="minorEastAsia" w:cstheme="minorBidi"/>
                <w:kern w:val="0"/>
                <w:sz w:val="24"/>
                <w:szCs w:val="24"/>
                <w:bdr w:val="none" w:color="auto" w:sz="0" w:space="0"/>
                <w:lang w:val="en-US" w:eastAsia="zh-CN" w:bidi="ar"/>
              </w:rPr>
              <w:fldChar w:fldCharType="separate"/>
            </w:r>
            <w:r>
              <w:rPr>
                <w:rStyle w:val="5"/>
                <w:rFonts w:hint="eastAsia" w:ascii="黑体" w:hAnsi="宋体" w:eastAsia="黑体" w:cs="黑体"/>
                <w:sz w:val="24"/>
                <w:szCs w:val="24"/>
                <w:bdr w:val="none" w:color="auto" w:sz="0" w:space="0"/>
              </w:rPr>
              <w:t>http://apply.csc.edu.cn</w:t>
            </w:r>
            <w:r>
              <w:rPr>
                <w:rFonts w:asciiTheme="minorHAnsi" w:hAnsiTheme="minorHAnsi" w:eastAsiaTheme="minorEastAsia" w:cstheme="minorBidi"/>
                <w:kern w:val="0"/>
                <w:sz w:val="24"/>
                <w:szCs w:val="24"/>
                <w:bdr w:val="none" w:color="auto" w:sz="0" w:space="0"/>
                <w:lang w:val="en-US" w:eastAsia="zh-CN" w:bidi="ar"/>
              </w:rPr>
              <w:fldChar w:fldCharType="end"/>
            </w:r>
            <w:r>
              <w:rPr>
                <w:rFonts w:hint="eastAsia" w:ascii="黑体" w:hAnsi="宋体" w:eastAsia="黑体" w:cs="黑体"/>
                <w:kern w:val="0"/>
                <w:sz w:val="24"/>
                <w:szCs w:val="24"/>
                <w:bdr w:val="none" w:color="auto" w:sz="0" w:space="0"/>
                <w:lang w:val="en-US" w:eastAsia="zh-CN" w:bidi="ar"/>
              </w:rPr>
              <w:t>）查阅是否需要办理《同意办理派出手续的函》及办理方式。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2.签订《国家公派出国留学协议书》，办理签证、预定机票等派出手续。</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详见《出国留学人员须知》</w:t>
            </w:r>
            <w:r>
              <w:rPr>
                <w:rFonts w:asciiTheme="minorHAnsi" w:hAnsiTheme="minorHAnsi" w:eastAsiaTheme="minorEastAsia" w:cstheme="minorBidi"/>
                <w:kern w:val="0"/>
                <w:sz w:val="24"/>
                <w:szCs w:val="24"/>
                <w:bdr w:val="none" w:color="auto" w:sz="0" w:space="0"/>
                <w:lang w:val="en-US" w:eastAsia="zh-CN" w:bidi="ar"/>
              </w:rPr>
              <w:t> </w:t>
            </w:r>
            <w:r>
              <w:rPr>
                <w:rFonts w:hint="eastAsia" w:ascii="黑体" w:hAnsi="宋体" w:eastAsia="黑体" w:cs="黑体"/>
                <w:kern w:val="0"/>
                <w:sz w:val="24"/>
                <w:szCs w:val="24"/>
                <w:bdr w:val="none" w:color="auto" w:sz="0" w:space="0"/>
                <w:lang w:val="en-US" w:eastAsia="zh-CN" w:bidi="ar"/>
              </w:rPr>
              <w:t>。</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7</w:t>
            </w:r>
          </w:p>
        </w:tc>
        <w:tc>
          <w:tcPr>
            <w:tcW w:w="138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国外报到</w:t>
            </w:r>
          </w:p>
        </w:tc>
        <w:tc>
          <w:tcPr>
            <w:tcW w:w="30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24"/>
                <w:szCs w:val="24"/>
              </w:rPr>
            </w:pPr>
            <w:r>
              <w:rPr>
                <w:rFonts w:hint="eastAsia" w:ascii="黑体" w:hAnsi="宋体" w:eastAsia="黑体" w:cs="黑体"/>
                <w:kern w:val="0"/>
                <w:sz w:val="24"/>
                <w:szCs w:val="24"/>
                <w:bdr w:val="none" w:color="auto" w:sz="0" w:space="0"/>
                <w:lang w:val="en-US" w:eastAsia="zh-CN" w:bidi="ar"/>
              </w:rPr>
              <w:t>留学人员自抵达留学所在国后10日内须凭《国家留学基金资助出国留学资格证书》等材料向中国驻留学所在国使（领）馆办理报到手续。</w:t>
            </w:r>
          </w:p>
        </w:tc>
        <w:tc>
          <w:tcPr>
            <w:tcW w:w="25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743E4"/>
    <w:rsid w:val="34974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2021-03-08T03:24:00Z</dcterms:created>
  <dc:creator>语数英一郎</dc:creator>
  <cp:lastModifiedBy>语数英一郎</cp:lastModifiedBy>
  <dcterms:modified xsi:type="dcterms:W3CDTF">2021-03-08T03:24:32Z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